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CB9" w:rsidRPr="004830A3" w:rsidRDefault="00DE4768" w:rsidP="00B77CBE">
      <w:pPr>
        <w:rPr>
          <w:rFonts w:cs="Arial"/>
          <w:sz w:val="22"/>
          <w:szCs w:val="22"/>
        </w:rPr>
      </w:pPr>
    </w:p>
    <w:p w:rsidR="00252CB9" w:rsidRPr="004830A3" w:rsidRDefault="00DE4768" w:rsidP="00B77CBE">
      <w:pPr>
        <w:rPr>
          <w:rFonts w:cs="Arial"/>
          <w:sz w:val="22"/>
          <w:szCs w:val="22"/>
          <w:lang w:val="es-ES"/>
        </w:rPr>
      </w:pPr>
    </w:p>
    <w:p w:rsidR="00252CB9" w:rsidRDefault="00DE4768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E84EDC" w:rsidRDefault="00DE4768" w:rsidP="00E84EDC">
      <w:pPr>
        <w:pStyle w:val="Encabezado"/>
        <w:jc w:val="center"/>
        <w:rPr>
          <w:rFonts w:cs="Arial"/>
          <w:b/>
          <w:sz w:val="22"/>
          <w:szCs w:val="24"/>
        </w:rPr>
      </w:pPr>
      <w:r>
        <w:rPr>
          <w:rFonts w:cs="Arial"/>
          <w:b/>
          <w:sz w:val="22"/>
          <w:szCs w:val="24"/>
        </w:rPr>
        <w:t>RESOLUCIÓN No.______ DE 202</w:t>
      </w:r>
      <w:r w:rsidR="005A54F1">
        <w:rPr>
          <w:rFonts w:cs="Arial"/>
          <w:b/>
          <w:sz w:val="22"/>
          <w:szCs w:val="24"/>
        </w:rPr>
        <w:t>4</w:t>
      </w:r>
      <w:bookmarkStart w:id="0" w:name="_GoBack"/>
      <w:bookmarkEnd w:id="0"/>
    </w:p>
    <w:p w:rsidR="00E84EDC" w:rsidRDefault="00DE4768" w:rsidP="00E84EDC">
      <w:pPr>
        <w:pStyle w:val="Encabezado"/>
        <w:jc w:val="center"/>
        <w:rPr>
          <w:rFonts w:cs="Arial"/>
          <w:b/>
          <w:sz w:val="22"/>
          <w:szCs w:val="24"/>
        </w:rPr>
      </w:pPr>
    </w:p>
    <w:p w:rsidR="00E84EDC" w:rsidRDefault="00DE4768" w:rsidP="00E84EDC">
      <w:pPr>
        <w:pStyle w:val="Encabezado"/>
        <w:jc w:val="center"/>
        <w:rPr>
          <w:rFonts w:cs="Arial"/>
          <w:b/>
          <w:sz w:val="22"/>
          <w:szCs w:val="24"/>
        </w:rPr>
      </w:pPr>
      <w:r>
        <w:rPr>
          <w:rFonts w:cs="Arial"/>
          <w:b/>
          <w:sz w:val="22"/>
          <w:szCs w:val="24"/>
        </w:rPr>
        <w:t>(</w:t>
      </w:r>
      <w:proofErr w:type="spellStart"/>
      <w:r>
        <w:rPr>
          <w:rFonts w:cs="Arial"/>
          <w:b/>
          <w:sz w:val="22"/>
          <w:szCs w:val="24"/>
        </w:rPr>
        <w:t>xxxx</w:t>
      </w:r>
      <w:proofErr w:type="spellEnd"/>
      <w:r>
        <w:rPr>
          <w:rFonts w:cs="Arial"/>
          <w:b/>
          <w:sz w:val="22"/>
          <w:szCs w:val="24"/>
        </w:rPr>
        <w:t xml:space="preserve"> de </w:t>
      </w:r>
      <w:proofErr w:type="spellStart"/>
      <w:r>
        <w:rPr>
          <w:rFonts w:cs="Arial"/>
          <w:b/>
          <w:sz w:val="22"/>
          <w:szCs w:val="24"/>
        </w:rPr>
        <w:t>xxxxxxx</w:t>
      </w:r>
      <w:proofErr w:type="spellEnd"/>
      <w:r>
        <w:rPr>
          <w:rFonts w:cs="Arial"/>
          <w:b/>
          <w:sz w:val="22"/>
          <w:szCs w:val="24"/>
        </w:rPr>
        <w:t xml:space="preserve"> de </w:t>
      </w:r>
      <w:proofErr w:type="spellStart"/>
      <w:r>
        <w:rPr>
          <w:rFonts w:cs="Arial"/>
          <w:b/>
          <w:sz w:val="22"/>
          <w:szCs w:val="24"/>
        </w:rPr>
        <w:t>xxxxx</w:t>
      </w:r>
      <w:proofErr w:type="spellEnd"/>
      <w:r>
        <w:rPr>
          <w:rFonts w:cs="Arial"/>
          <w:b/>
          <w:sz w:val="22"/>
          <w:szCs w:val="24"/>
        </w:rPr>
        <w:t>)</w:t>
      </w:r>
    </w:p>
    <w:p w:rsidR="00E84EDC" w:rsidRDefault="00DE4768" w:rsidP="00E84EDC">
      <w:pPr>
        <w:pStyle w:val="Encabezado"/>
        <w:jc w:val="center"/>
        <w:rPr>
          <w:rFonts w:cs="Arial"/>
          <w:b/>
          <w:sz w:val="22"/>
          <w:szCs w:val="24"/>
        </w:rPr>
      </w:pPr>
    </w:p>
    <w:p w:rsidR="00E84EDC" w:rsidRDefault="00DE4768" w:rsidP="00BC0047">
      <w:pPr>
        <w:ind w:left="180" w:right="360"/>
        <w:jc w:val="center"/>
        <w:rPr>
          <w:rFonts w:cs="Arial"/>
          <w:i/>
          <w:sz w:val="22"/>
        </w:rPr>
      </w:pPr>
      <w:r>
        <w:rPr>
          <w:rFonts w:cs="Arial"/>
          <w:i/>
          <w:sz w:val="22"/>
        </w:rPr>
        <w:t>“Por la cual se ordenan unos pagos a pasantes/practicantes de la Secretaría Distrital de Planeación por concepto de su práctica laboral”.</w:t>
      </w:r>
    </w:p>
    <w:p w:rsidR="00BC0047" w:rsidRPr="00BC0047" w:rsidRDefault="00DE4768" w:rsidP="00BC0047">
      <w:pPr>
        <w:ind w:left="180" w:right="360"/>
        <w:jc w:val="center"/>
        <w:rPr>
          <w:rFonts w:cs="Arial"/>
          <w:i/>
          <w:sz w:val="22"/>
        </w:rPr>
      </w:pPr>
    </w:p>
    <w:p w:rsidR="00E84EDC" w:rsidRDefault="00DE4768" w:rsidP="00E84EDC">
      <w:pPr>
        <w:ind w:firstLine="709"/>
        <w:jc w:val="center"/>
        <w:rPr>
          <w:rFonts w:cs="Arial"/>
          <w:b/>
          <w:sz w:val="22"/>
          <w:szCs w:val="24"/>
        </w:rPr>
      </w:pPr>
      <w:r>
        <w:rPr>
          <w:rFonts w:cs="Arial"/>
          <w:b/>
          <w:sz w:val="22"/>
          <w:szCs w:val="24"/>
        </w:rPr>
        <w:t>LA SUBSECR</w:t>
      </w:r>
      <w:r>
        <w:rPr>
          <w:rFonts w:cs="Arial"/>
          <w:b/>
          <w:sz w:val="22"/>
          <w:szCs w:val="24"/>
        </w:rPr>
        <w:t>ETARIA DE GESTIÓN INSTITUCIONAL</w:t>
      </w:r>
      <w:r>
        <w:rPr>
          <w:rFonts w:cs="Arial"/>
          <w:b/>
          <w:sz w:val="22"/>
          <w:szCs w:val="24"/>
        </w:rPr>
        <w:t xml:space="preserve"> </w:t>
      </w:r>
      <w:r>
        <w:rPr>
          <w:rFonts w:cs="Arial"/>
          <w:b/>
          <w:sz w:val="22"/>
          <w:szCs w:val="24"/>
        </w:rPr>
        <w:t xml:space="preserve">DE LA </w:t>
      </w:r>
    </w:p>
    <w:p w:rsidR="00E84EDC" w:rsidRDefault="00DE4768" w:rsidP="00E84EDC">
      <w:pPr>
        <w:ind w:firstLine="709"/>
        <w:jc w:val="center"/>
        <w:rPr>
          <w:rFonts w:cs="Arial"/>
          <w:b/>
          <w:sz w:val="22"/>
          <w:szCs w:val="24"/>
        </w:rPr>
      </w:pPr>
      <w:r>
        <w:rPr>
          <w:rFonts w:cs="Arial"/>
          <w:b/>
          <w:sz w:val="22"/>
          <w:szCs w:val="24"/>
        </w:rPr>
        <w:t>SECRETARÍA DISTRITAL DE PLANEACIÓN</w:t>
      </w:r>
    </w:p>
    <w:p w:rsidR="00E84EDC" w:rsidRDefault="00DE4768" w:rsidP="00E84EDC">
      <w:pPr>
        <w:ind w:firstLine="709"/>
        <w:jc w:val="center"/>
        <w:rPr>
          <w:rFonts w:cs="Arial"/>
          <w:b/>
          <w:sz w:val="22"/>
          <w:szCs w:val="24"/>
        </w:rPr>
      </w:pPr>
    </w:p>
    <w:p w:rsidR="00E84EDC" w:rsidRDefault="00DE4768" w:rsidP="00E84EDC">
      <w:pPr>
        <w:spacing w:line="276" w:lineRule="auto"/>
        <w:jc w:val="center"/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En uso de sus facultades legales y, en especial, de las conferidas en el artículo 1° de la Resolución </w:t>
      </w:r>
      <w:r>
        <w:rPr>
          <w:rFonts w:cs="Arial"/>
          <w:sz w:val="22"/>
          <w:szCs w:val="22"/>
          <w:lang w:val="es-ES"/>
        </w:rPr>
        <w:t>No. 1790</w:t>
      </w:r>
      <w:r>
        <w:rPr>
          <w:rFonts w:cs="Arial"/>
          <w:sz w:val="22"/>
          <w:szCs w:val="22"/>
          <w:lang w:val="es-ES"/>
        </w:rPr>
        <w:t xml:space="preserve"> de</w:t>
      </w:r>
      <w:r>
        <w:rPr>
          <w:rFonts w:cs="Arial"/>
          <w:sz w:val="22"/>
          <w:szCs w:val="22"/>
          <w:lang w:val="es-ES"/>
        </w:rPr>
        <w:t>l 13 noviembre</w:t>
      </w:r>
      <w:r>
        <w:rPr>
          <w:rFonts w:cs="Arial"/>
          <w:sz w:val="22"/>
          <w:szCs w:val="22"/>
          <w:lang w:val="es-ES"/>
        </w:rPr>
        <w:t xml:space="preserve"> 2024</w:t>
      </w:r>
      <w:r>
        <w:rPr>
          <w:rFonts w:cs="Arial"/>
          <w:sz w:val="22"/>
          <w:szCs w:val="22"/>
          <w:lang w:val="es-ES"/>
        </w:rPr>
        <w:t>, y</w:t>
      </w:r>
    </w:p>
    <w:p w:rsidR="00E84EDC" w:rsidRDefault="00DE4768" w:rsidP="00BC0047">
      <w:pPr>
        <w:autoSpaceDE w:val="0"/>
        <w:autoSpaceDN w:val="0"/>
        <w:adjustRightInd w:val="0"/>
        <w:spacing w:before="240"/>
        <w:ind w:left="180" w:right="360"/>
        <w:jc w:val="center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>CONSIDERANDO:</w:t>
      </w:r>
    </w:p>
    <w:p w:rsidR="00E84EDC" w:rsidRDefault="00DE4768" w:rsidP="00E84EDC">
      <w:pPr>
        <w:spacing w:before="240" w:after="240"/>
        <w:rPr>
          <w:rFonts w:cs="Arial"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Que el artículo 54 de la Constitución Política de 1991 dispone que es </w:t>
      </w:r>
      <w:r>
        <w:rPr>
          <w:rFonts w:cs="Arial"/>
          <w:sz w:val="22"/>
          <w:szCs w:val="22"/>
        </w:rPr>
        <w:t>obligación del Estado y de los empleadores ofrecer formación y habilitación profesional y técnica a quienes lo requieran, debiendo propiciar el Estado la ubicación laboral de las personas en edad de trabajar.</w:t>
      </w: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Que el artículo 15 de la Ley 1780 de 2016 defin</w:t>
      </w:r>
      <w:r>
        <w:rPr>
          <w:rFonts w:cs="Arial"/>
          <w:sz w:val="22"/>
          <w:szCs w:val="22"/>
        </w:rPr>
        <w:t>e la práctica laboral como una actividad formativa desarrollada por un estudiante de programas de formación complementaria ofrecidos por las escuelas normales superiores y de educación superior de pregrado, durante un tiempo determinado, en un ambiente lab</w:t>
      </w:r>
      <w:r>
        <w:rPr>
          <w:rFonts w:cs="Arial"/>
          <w:sz w:val="22"/>
          <w:szCs w:val="22"/>
        </w:rPr>
        <w:t>oral real sobre asuntos relacionados con su área de estudio y su tiempo de formación, exigida como un requisito para culminar sus estudios u obtener el título que de lo acreditará para el desempeño laboral y que por tratarse de una actividad formativa no c</w:t>
      </w:r>
      <w:r>
        <w:rPr>
          <w:rFonts w:cs="Arial"/>
          <w:sz w:val="22"/>
          <w:szCs w:val="22"/>
        </w:rPr>
        <w:t>onstituye una relación de trabajo.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Que, mediante Resolución No. 3546 del 3 de agosto de 2018, el Ministerio del Trabajo reguló las prácticas laborales, señalando las condiciones en que estas se deberán realizar, acto administrativo que fue modificado medi</w:t>
      </w:r>
      <w:r>
        <w:rPr>
          <w:rFonts w:cs="Arial"/>
          <w:sz w:val="22"/>
          <w:szCs w:val="22"/>
        </w:rPr>
        <w:t>ante Resolución No. 623 de 2020.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Que, las entidades públicas y privadas deben afiliar y pagar los aportes al Sistema General de Riesgos Laborales de los estudiantes que deban realizar prácticas como requisito para culminar sus estudios y obtener un </w:t>
      </w:r>
      <w:r>
        <w:rPr>
          <w:rFonts w:cs="Arial"/>
          <w:sz w:val="22"/>
          <w:szCs w:val="22"/>
        </w:rPr>
        <w:t>título, tal como lo señala el numeral 2º del artículo 2.2.4.2.3.2 del Decreto 1072 de 2015 y el artículo 9º de la Resolución No. 3546 del 2018, modificada por el artículo 5 de la Resolución No. 623 de 2020.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Que la Ley 2043 del 27 de julio de 2020, reconoc</w:t>
      </w:r>
      <w:r>
        <w:rPr>
          <w:rFonts w:cs="Arial"/>
          <w:sz w:val="22"/>
          <w:szCs w:val="22"/>
        </w:rPr>
        <w:t>e las prácticas laborales como experiencia profesional y/o relacionada a aquellas prácticas que se hayan realizado en el sector público y/o sector privado como opción para adquirir el correspondiente título.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 el Acuerdo Distrital 805 del 19 de febrero </w:t>
      </w:r>
      <w:r>
        <w:rPr>
          <w:rFonts w:cs="Arial"/>
          <w:sz w:val="22"/>
          <w:szCs w:val="22"/>
        </w:rPr>
        <w:t>de 2021, establece que deberá diseñarse e implementarse una política de dignificación de las prácticas laborales, pasantías, judicatura o relación de docencia de servicio en el área de salud, en las entidades del nivel central y descentralizado de Bogotá D</w:t>
      </w:r>
      <w:r>
        <w:rPr>
          <w:rFonts w:cs="Arial"/>
          <w:sz w:val="22"/>
          <w:szCs w:val="22"/>
        </w:rPr>
        <w:t>.C., precisando que dicha política debe contemplar la inclusión de criterios objetivos de selección de los estudiantes que aspiren a hacer parte de la estrategia, mediante un procesos participativo y basado en el mérito de designación a cargo de cada una d</w:t>
      </w:r>
      <w:r>
        <w:rPr>
          <w:rFonts w:cs="Arial"/>
          <w:sz w:val="22"/>
          <w:szCs w:val="22"/>
        </w:rPr>
        <w:t>e las entidades y organismos distritales a través de sus áreas de Talento Humano o a quien corresponda, realizando una designación paritaria entre hombre y mujeres, con enfoque diferencial y, estableciendo que de manera progresiva y atendiendo al principio</w:t>
      </w:r>
      <w:r>
        <w:rPr>
          <w:rFonts w:cs="Arial"/>
          <w:sz w:val="22"/>
          <w:szCs w:val="22"/>
        </w:rPr>
        <w:t xml:space="preserve"> de sostenibilidad fiscal, se propenderá por garantizar un subsidio de sostenimiento a los estudiantes que desarrollen en ellas, sus prácticas laborales.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Que la Directiva 007 del 23 de septiembre de 2021, señaló las directrices para la implementación de l</w:t>
      </w:r>
      <w:r>
        <w:rPr>
          <w:rFonts w:cs="Arial"/>
          <w:sz w:val="22"/>
          <w:szCs w:val="22"/>
        </w:rPr>
        <w:t>a Política de Dignificación de Prácticas Laborales y organismos públicos de Bogotá. D.C., en cumplimiento del Acuerdo Distrital 805 de 2021.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Que a través de la Resolución No. 665 del 27 de marzo de 2023, se reglamentó las prácticas laborales en la Secreta</w:t>
      </w:r>
      <w:r>
        <w:rPr>
          <w:rFonts w:cs="Arial"/>
          <w:sz w:val="22"/>
          <w:szCs w:val="22"/>
        </w:rPr>
        <w:t>ría Distrital de Planeación.</w:t>
      </w:r>
    </w:p>
    <w:p w:rsidR="00E84EDC" w:rsidRDefault="00DE4768" w:rsidP="00E84EDC">
      <w:pPr>
        <w:rPr>
          <w:rFonts w:cs="Arial"/>
          <w:sz w:val="22"/>
          <w:szCs w:val="22"/>
        </w:rPr>
      </w:pPr>
    </w:p>
    <w:p w:rsidR="00E84EDC" w:rsidRDefault="00DE4768" w:rsidP="00E84ED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 la Resolución No. </w:t>
      </w:r>
      <w:r>
        <w:rPr>
          <w:rFonts w:cs="Arial"/>
          <w:sz w:val="22"/>
          <w:szCs w:val="22"/>
        </w:rPr>
        <w:t>085 del 15 de enero de 2024</w:t>
      </w:r>
      <w:r>
        <w:rPr>
          <w:rFonts w:cs="Arial"/>
          <w:sz w:val="22"/>
          <w:szCs w:val="22"/>
        </w:rPr>
        <w:t>, en el artículo 1º delegó a la Subsecretaria de Gestión Institucional suscribir los contratos los contratos de aprendizaje con el Sena, así como suscribir actos administrativos</w:t>
      </w:r>
      <w:r>
        <w:rPr>
          <w:rFonts w:cs="Arial"/>
          <w:sz w:val="22"/>
          <w:szCs w:val="22"/>
        </w:rPr>
        <w:t xml:space="preserve"> de vinculación formativa de estudiantes para prácticas, pasantías o similares, y aceptar renuncias, suspensiones o prórrogas de esta clase de vinculación.</w:t>
      </w:r>
    </w:p>
    <w:p w:rsidR="00E84EDC" w:rsidRDefault="00DE4768" w:rsidP="00E84EDC">
      <w:pPr>
        <w:spacing w:before="240" w:after="240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Que los pasantes/ practicantes cumplieron con los requisitos y fueron avalados por los tutores inmed</w:t>
      </w:r>
      <w:r>
        <w:rPr>
          <w:rFonts w:cs="Arial"/>
          <w:sz w:val="22"/>
          <w:szCs w:val="24"/>
        </w:rPr>
        <w:t xml:space="preserve">iatos quienes certificaron el total de días </w:t>
      </w:r>
      <w:r>
        <w:rPr>
          <w:rFonts w:cs="Arial"/>
          <w:sz w:val="22"/>
          <w:szCs w:val="24"/>
        </w:rPr>
        <w:t>trabajados.</w:t>
      </w:r>
    </w:p>
    <w:p w:rsidR="00E84EDC" w:rsidRDefault="00DE4768" w:rsidP="00E84EDC">
      <w:pPr>
        <w:pStyle w:val="Prrafodelista"/>
        <w:spacing w:after="240"/>
        <w:ind w:left="0"/>
        <w:rPr>
          <w:rFonts w:cs="Arial"/>
          <w:color w:val="000000"/>
          <w:sz w:val="22"/>
          <w:szCs w:val="24"/>
          <w:lang w:val="es-ES_tradnl" w:eastAsia="es-CO"/>
        </w:rPr>
      </w:pPr>
      <w:r>
        <w:rPr>
          <w:rFonts w:cs="Arial"/>
          <w:color w:val="000000"/>
          <w:sz w:val="22"/>
          <w:szCs w:val="24"/>
          <w:lang w:val="es-ES_tradnl" w:eastAsia="es-CO"/>
        </w:rPr>
        <w:t xml:space="preserve">Que, </w:t>
      </w:r>
      <w:r w:rsidR="0086441F">
        <w:rPr>
          <w:rFonts w:cs="Arial"/>
          <w:color w:val="000000"/>
          <w:sz w:val="22"/>
          <w:szCs w:val="24"/>
          <w:lang w:val="es-ES_tradnl" w:eastAsia="es-CO"/>
        </w:rPr>
        <w:t>en mérito de</w:t>
      </w:r>
      <w:r>
        <w:rPr>
          <w:rFonts w:cs="Arial"/>
          <w:color w:val="000000"/>
          <w:sz w:val="22"/>
          <w:szCs w:val="24"/>
          <w:lang w:val="es-ES_tradnl" w:eastAsia="es-CO"/>
        </w:rPr>
        <w:t xml:space="preserve"> lo </w:t>
      </w:r>
      <w:r>
        <w:rPr>
          <w:rFonts w:cs="Arial"/>
          <w:color w:val="000000"/>
          <w:sz w:val="22"/>
          <w:szCs w:val="24"/>
          <w:lang w:val="es-ES_tradnl" w:eastAsia="es-CO"/>
        </w:rPr>
        <w:t xml:space="preserve">expuesto, </w:t>
      </w:r>
    </w:p>
    <w:p w:rsidR="00E84EDC" w:rsidRDefault="00DE4768" w:rsidP="00E84EDC">
      <w:pPr>
        <w:jc w:val="center"/>
        <w:rPr>
          <w:b/>
          <w:sz w:val="22"/>
        </w:rPr>
      </w:pPr>
      <w:r>
        <w:rPr>
          <w:b/>
          <w:sz w:val="22"/>
        </w:rPr>
        <w:t>R E S U E L V E</w:t>
      </w:r>
    </w:p>
    <w:p w:rsidR="00E0218D" w:rsidRDefault="00DE4768" w:rsidP="00D57182">
      <w:pPr>
        <w:spacing w:before="240" w:after="240"/>
        <w:rPr>
          <w:rFonts w:cs="Arial"/>
          <w:bCs/>
          <w:sz w:val="22"/>
          <w:szCs w:val="24"/>
        </w:rPr>
      </w:pPr>
      <w:r>
        <w:rPr>
          <w:rFonts w:cs="Arial"/>
          <w:b/>
          <w:sz w:val="22"/>
          <w:szCs w:val="24"/>
        </w:rPr>
        <w:t>ARTÍCULO PRIMERO.</w:t>
      </w:r>
      <w:r>
        <w:rPr>
          <w:rFonts w:cs="Arial"/>
          <w:bCs/>
          <w:sz w:val="22"/>
          <w:szCs w:val="24"/>
        </w:rPr>
        <w:t xml:space="preserve"> - </w:t>
      </w:r>
      <w:r>
        <w:rPr>
          <w:rFonts w:cs="Arial"/>
          <w:bCs/>
          <w:sz w:val="22"/>
          <w:szCs w:val="22"/>
        </w:rPr>
        <w:t xml:space="preserve">Ordenar el pago de lo generado por concepto de </w:t>
      </w:r>
      <w:r>
        <w:rPr>
          <w:sz w:val="22"/>
          <w:szCs w:val="22"/>
        </w:rPr>
        <w:t xml:space="preserve">pago de subsidio de sostenimiento a los </w:t>
      </w:r>
      <w:r>
        <w:rPr>
          <w:rFonts w:cs="Arial"/>
          <w:bCs/>
          <w:sz w:val="22"/>
          <w:szCs w:val="22"/>
        </w:rPr>
        <w:t xml:space="preserve">practicantes/pasantes </w:t>
      </w:r>
      <w:r>
        <w:rPr>
          <w:sz w:val="22"/>
          <w:szCs w:val="22"/>
        </w:rPr>
        <w:t>del mes de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noviemb</w:t>
      </w:r>
      <w:r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de 202</w:t>
      </w:r>
      <w:r>
        <w:rPr>
          <w:sz w:val="22"/>
          <w:szCs w:val="22"/>
        </w:rPr>
        <w:t>4</w:t>
      </w:r>
      <w:r>
        <w:rPr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según Certificado de Disponibilidad Presupuestal CDP número </w:t>
      </w:r>
      <w:r>
        <w:rPr>
          <w:rFonts w:cs="Arial"/>
          <w:sz w:val="22"/>
          <w:szCs w:val="22"/>
        </w:rPr>
        <w:t>521 del 10 de abril de 2024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al número de cuenta bancaria allegada a la Dirección de Talento Humano de los practicantes/pasantes que se relacionan a continuación:</w:t>
      </w:r>
      <w:r>
        <w:rPr>
          <w:rFonts w:cs="Arial"/>
          <w:bCs/>
          <w:sz w:val="22"/>
          <w:szCs w:val="24"/>
        </w:rPr>
        <w:t xml:space="preserve"> </w:t>
      </w:r>
    </w:p>
    <w:tbl>
      <w:tblPr>
        <w:tblW w:w="972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1314"/>
        <w:gridCol w:w="1196"/>
        <w:gridCol w:w="1342"/>
        <w:gridCol w:w="958"/>
        <w:gridCol w:w="1499"/>
        <w:gridCol w:w="1181"/>
        <w:gridCol w:w="941"/>
      </w:tblGrid>
      <w:tr w:rsidR="007561A9" w:rsidTr="00655BCB">
        <w:trPr>
          <w:trHeight w:val="581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lastRenderedPageBreak/>
              <w:t>CÉDULA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APELLIDOS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NOMBRES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NÚMERO DE CUENTA BANCARIA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TIPO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BANCO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MES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DC" w:rsidRPr="00BC0047" w:rsidRDefault="00DE476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 xml:space="preserve"> </w:t>
            </w:r>
            <w:proofErr w:type="gramStart"/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TOTAL</w:t>
            </w:r>
            <w:proofErr w:type="gramEnd"/>
            <w:r w:rsidRPr="00BC0047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 xml:space="preserve"> A PAGAR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000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121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535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MURILLO BARRIGA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YENIFER CATALINA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154-672857-91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5FC" w:rsidRPr="00926CB2" w:rsidRDefault="00DE4768" w:rsidP="00DB05FC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568" w:rsidRPr="00FD50A9" w:rsidRDefault="00DE4768" w:rsidP="00FD50A9">
            <w:pPr>
              <w:jc w:val="center"/>
              <w:rPr>
                <w:b/>
                <w:sz w:val="16"/>
                <w:szCs w:val="16"/>
              </w:rPr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C" w:rsidRPr="00926CB2" w:rsidRDefault="00DE4768" w:rsidP="0011416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 xml:space="preserve">$ </w:t>
            </w: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1.</w:t>
            </w: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1.000.255.378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CORTÈS CONTRERAS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DAYANNA ALEXANDRA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666-509211-36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1.001.348.450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BENJÚMEA GARZÓN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LUNA PAULINA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91233217650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1.001.297.629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ROMERO MAHECHA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LUISA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54745215346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 w:eastAsia="es-CO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1.000.353.456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</w:rPr>
              <w:t>GÁMEZ GONZÁLEZ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JULIANA MARÍA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24110546548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 w:eastAsia="es-CO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  <w:t>BANCO CAJA SOCIAL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1.000.270.872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</w:rPr>
              <w:t>BÁEZ SÁENZ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VALENTINA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10066098503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 w:eastAsia="es-CO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AHORROS A LA MANO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1.000.851.614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</w:rPr>
              <w:t>ROJAS TAVERA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LORENA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24120929861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  <w:t>BANCO CAJA SOCIAL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1.033.813.357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  <w:t>ACUÑA VALDERRAMA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SERGIO STIVEN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15465535099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AHORROS A LA MANO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1.193.519.431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</w:rPr>
              <w:t>REYES SASTOQUE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sz w:val="16"/>
                <w:szCs w:val="16"/>
                <w:lang w:val="es-MX"/>
              </w:rPr>
              <w:t>ANDRÈS FELIPE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1052013469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sz w:val="16"/>
                <w:szCs w:val="16"/>
                <w:shd w:val="clear" w:color="auto" w:fill="FFFFFF"/>
                <w:lang w:val="es-MX"/>
              </w:rPr>
              <w:t>SCOTIABANK COLPATRIA S.A.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$ 1300.000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1.000.134.732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  <w:t>ALDANA TEJEDOR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 xml:space="preserve">SERGIO </w:t>
            </w: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ANDRÉS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24087632842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 CAJA SOCIAL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29640E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29640E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1.000.611.741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29640E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29640E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  <w:t>RODRÍGUEZ ALONSO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DANIEL ARMANDO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29640E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29640E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19175311028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$1.300.000</w:t>
            </w:r>
          </w:p>
        </w:tc>
      </w:tr>
      <w:tr w:rsidR="007561A9" w:rsidTr="000E0FA7">
        <w:trPr>
          <w:trHeight w:val="820"/>
          <w:tblHeader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29640E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52.911.136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29640E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</w:rPr>
              <w:t>GARCÍA CHONCHILLA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s-MX"/>
              </w:rPr>
              <w:t>GLORIA ELENA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0A9" w:rsidRPr="00F94DE1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F94DE1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66200022565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6CB2">
              <w:rPr>
                <w:rFonts w:ascii="Calibri" w:hAnsi="Calibri" w:cs="Calibri"/>
                <w:b/>
                <w:color w:val="000000"/>
                <w:sz w:val="18"/>
                <w:szCs w:val="18"/>
                <w:shd w:val="clear" w:color="auto" w:fill="FFFFFF"/>
              </w:rPr>
              <w:t>AHORROS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  <w:r w:rsidRPr="00926CB2"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  <w:t>BANCOLOMBIA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0A9" w:rsidRDefault="00DE4768" w:rsidP="00FD50A9">
            <w:pPr>
              <w:jc w:val="center"/>
            </w:pPr>
            <w:r w:rsidRPr="00FD50A9">
              <w:rPr>
                <w:b/>
                <w:sz w:val="16"/>
                <w:szCs w:val="16"/>
              </w:rPr>
              <w:t>NOVIEMBRE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 xml:space="preserve">$ </w:t>
            </w: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1.300.000</w:t>
            </w:r>
          </w:p>
        </w:tc>
      </w:tr>
      <w:tr w:rsidR="007561A9" w:rsidTr="00655BCB">
        <w:trPr>
          <w:trHeight w:val="406"/>
          <w:tblHeader/>
        </w:trPr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color w:val="000000"/>
                <w:sz w:val="16"/>
                <w:szCs w:val="16"/>
                <w:shd w:val="clear" w:color="auto" w:fill="FFFFFF"/>
                <w:lang w:val="es-MX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TOTAL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0A9" w:rsidRPr="00926CB2" w:rsidRDefault="00DE4768" w:rsidP="00FD50A9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</w:pPr>
            <w:r w:rsidRPr="00926CB2"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 xml:space="preserve">$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  <w:lang w:val="es-MX" w:eastAsia="es-CO"/>
              </w:rPr>
              <w:t>15.600.000</w:t>
            </w:r>
          </w:p>
        </w:tc>
      </w:tr>
    </w:tbl>
    <w:p w:rsidR="00E84EDC" w:rsidRDefault="00DE4768" w:rsidP="00E84EDC">
      <w:pPr>
        <w:spacing w:before="240" w:after="240"/>
        <w:rPr>
          <w:rFonts w:cs="Arial"/>
          <w:szCs w:val="24"/>
        </w:rPr>
      </w:pPr>
      <w:r>
        <w:rPr>
          <w:rFonts w:cs="Arial"/>
          <w:b/>
          <w:szCs w:val="24"/>
        </w:rPr>
        <w:t xml:space="preserve">ARTÍCULO SEGUNDO. – </w:t>
      </w:r>
      <w:r>
        <w:rPr>
          <w:rFonts w:cs="Arial"/>
          <w:szCs w:val="24"/>
        </w:rPr>
        <w:t>La presente resolución rige a partir de la fecha de su comunicación.</w:t>
      </w:r>
    </w:p>
    <w:p w:rsidR="00E84EDC" w:rsidRDefault="00DE4768" w:rsidP="00E84EDC">
      <w:pPr>
        <w:pStyle w:val="Ttulo2"/>
        <w:ind w:righ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COMUNÍQUESE Y CÚMPLASE</w:t>
      </w:r>
    </w:p>
    <w:p w:rsidR="00E84EDC" w:rsidRDefault="00DE4768" w:rsidP="00E84EDC">
      <w:pPr>
        <w:autoSpaceDE w:val="0"/>
        <w:autoSpaceDN w:val="0"/>
        <w:adjustRightInd w:val="0"/>
        <w:spacing w:before="240"/>
        <w:ind w:right="360"/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 C., a los </w:t>
      </w:r>
    </w:p>
    <w:p w:rsidR="00252CB9" w:rsidRPr="004830A3" w:rsidRDefault="00DE4768" w:rsidP="00992A1D">
      <w:pPr>
        <w:jc w:val="center"/>
        <w:rPr>
          <w:rFonts w:cs="Arial"/>
          <w:sz w:val="22"/>
          <w:szCs w:val="22"/>
          <w:lang w:val="es-ES"/>
        </w:rPr>
        <w:sectPr w:rsidR="00252CB9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252CB9" w:rsidRPr="004830A3" w:rsidRDefault="00DE4768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252CB9" w:rsidRPr="004830A3" w:rsidRDefault="00DE47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252CB9" w:rsidRPr="004830A3" w:rsidRDefault="00DE47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252CB9" w:rsidRPr="004830A3" w:rsidRDefault="00DE4768" w:rsidP="00B129DB">
      <w:pPr>
        <w:rPr>
          <w:rFonts w:cs="Arial"/>
          <w:b/>
          <w:sz w:val="22"/>
          <w:szCs w:val="22"/>
          <w:lang w:val="es-ES"/>
        </w:rPr>
        <w:sectPr w:rsidR="00252CB9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52CB9" w:rsidRDefault="00DE4768" w:rsidP="00523173">
      <w:pPr>
        <w:rPr>
          <w:rFonts w:cs="Arial"/>
          <w:sz w:val="22"/>
          <w:szCs w:val="22"/>
          <w:lang w:val="es-ES"/>
        </w:rPr>
      </w:pPr>
    </w:p>
    <w:p w:rsidR="00252CB9" w:rsidRDefault="00DE4768" w:rsidP="00523173">
      <w:pPr>
        <w:rPr>
          <w:rFonts w:cs="Arial"/>
          <w:sz w:val="22"/>
          <w:szCs w:val="22"/>
          <w:lang w:val="es-ES"/>
        </w:rPr>
      </w:pPr>
    </w:p>
    <w:p w:rsidR="00E84EDC" w:rsidRPr="00BC0047" w:rsidRDefault="0086441F" w:rsidP="00120764">
      <w:pPr>
        <w:rPr>
          <w:rFonts w:cs="Arial"/>
          <w:sz w:val="16"/>
          <w:szCs w:val="16"/>
          <w:lang w:val="es-ES"/>
        </w:rPr>
      </w:pPr>
      <w:r>
        <w:rPr>
          <w:rFonts w:cs="Arial"/>
          <w:sz w:val="16"/>
          <w:szCs w:val="16"/>
          <w:lang w:val="es-ES"/>
        </w:rPr>
        <w:t>Aprob</w:t>
      </w:r>
      <w:r w:rsidR="00DE4768" w:rsidRPr="00BC0047">
        <w:rPr>
          <w:rFonts w:cs="Arial"/>
          <w:sz w:val="16"/>
          <w:szCs w:val="16"/>
          <w:lang w:val="es-ES"/>
        </w:rPr>
        <w:t xml:space="preserve">ó: </w:t>
      </w:r>
      <w:r w:rsidR="00DE4768">
        <w:rPr>
          <w:rFonts w:cs="Arial"/>
          <w:sz w:val="16"/>
          <w:szCs w:val="16"/>
          <w:lang w:val="es-ES"/>
        </w:rPr>
        <w:t>Mónica Steffany Consuegra Avendaño</w:t>
      </w:r>
      <w:r w:rsidR="00DE4768" w:rsidRPr="00BC0047">
        <w:rPr>
          <w:rFonts w:cs="Arial"/>
          <w:sz w:val="16"/>
          <w:szCs w:val="16"/>
          <w:lang w:val="es-ES"/>
        </w:rPr>
        <w:t xml:space="preserve"> – Directora de Talento Humano</w:t>
      </w:r>
      <w:r w:rsidR="00DE4768">
        <w:rPr>
          <w:rFonts w:cs="Arial"/>
          <w:sz w:val="16"/>
          <w:szCs w:val="16"/>
          <w:lang w:val="es-ES"/>
        </w:rPr>
        <w:t xml:space="preserve"> </w:t>
      </w:r>
    </w:p>
    <w:p w:rsidR="00252CB9" w:rsidRPr="00BC0047" w:rsidRDefault="00DE4768" w:rsidP="00120764">
      <w:pPr>
        <w:rPr>
          <w:rFonts w:cs="Arial"/>
          <w:sz w:val="16"/>
          <w:szCs w:val="16"/>
          <w:lang w:val="es-ES"/>
        </w:rPr>
      </w:pPr>
      <w:r w:rsidRPr="00BC0047">
        <w:rPr>
          <w:rFonts w:cs="Arial"/>
          <w:sz w:val="16"/>
          <w:szCs w:val="16"/>
          <w:lang w:val="es-ES"/>
        </w:rPr>
        <w:t>Elaboró</w:t>
      </w:r>
      <w:r w:rsidRPr="00BC0047">
        <w:rPr>
          <w:rFonts w:cs="Arial"/>
          <w:sz w:val="16"/>
          <w:szCs w:val="16"/>
          <w:lang w:val="es-ES"/>
        </w:rPr>
        <w:t>: Marcela Lozano Kopp – Profesional Especializado</w:t>
      </w:r>
      <w:r>
        <w:rPr>
          <w:rFonts w:cs="Arial"/>
          <w:sz w:val="16"/>
          <w:szCs w:val="16"/>
          <w:lang w:val="es-ES"/>
        </w:rPr>
        <w:t xml:space="preserve">. </w:t>
      </w:r>
    </w:p>
    <w:p w:rsidR="00252CB9" w:rsidRPr="00BC0047" w:rsidRDefault="00DE4768" w:rsidP="00120764">
      <w:pPr>
        <w:rPr>
          <w:rFonts w:cs="Arial"/>
          <w:sz w:val="16"/>
          <w:szCs w:val="16"/>
          <w:lang w:val="es-ES"/>
        </w:rPr>
      </w:pPr>
    </w:p>
    <w:p w:rsidR="00252CB9" w:rsidRPr="004830A3" w:rsidRDefault="00DE4768" w:rsidP="00523173">
      <w:pPr>
        <w:rPr>
          <w:rFonts w:cs="Arial"/>
          <w:sz w:val="22"/>
          <w:szCs w:val="22"/>
          <w:lang w:val="es-ES"/>
        </w:rPr>
      </w:pPr>
    </w:p>
    <w:sectPr w:rsidR="00252CB9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768" w:rsidRDefault="00DE4768">
      <w:r>
        <w:separator/>
      </w:r>
    </w:p>
  </w:endnote>
  <w:endnote w:type="continuationSeparator" w:id="0">
    <w:p w:rsidR="00DE4768" w:rsidRDefault="00DE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CB9" w:rsidRPr="009E29D1" w:rsidRDefault="00DE476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52CB9" w:rsidRDefault="00DE4768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252CB9" w:rsidRPr="009E29D1" w:rsidRDefault="00DE47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52CB9" w:rsidRPr="009E29D1" w:rsidRDefault="00DE47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252CB9" w:rsidRPr="009E29D1" w:rsidRDefault="00DE4768" w:rsidP="00930EB4">
    <w:pPr>
      <w:pStyle w:val="Piedepgina"/>
      <w:rPr>
        <w:sz w:val="14"/>
        <w:szCs w:val="14"/>
      </w:rPr>
    </w:pPr>
  </w:p>
  <w:p w:rsidR="00252CB9" w:rsidRPr="009E29D1" w:rsidRDefault="00DE47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252CB9" w:rsidRPr="009E29D1" w:rsidRDefault="00DE47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252CB9" w:rsidRPr="009E29D1" w:rsidRDefault="00DE4768" w:rsidP="00930EB4">
    <w:pPr>
      <w:pStyle w:val="Piedepgina"/>
      <w:rPr>
        <w:sz w:val="14"/>
        <w:szCs w:val="14"/>
      </w:rPr>
    </w:pPr>
  </w:p>
  <w:p w:rsidR="00252CB9" w:rsidRPr="009E29D1" w:rsidRDefault="00DE47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52CB9" w:rsidRPr="009E29D1" w:rsidRDefault="00DE476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52CB9" w:rsidRPr="009E29D1" w:rsidRDefault="00DE47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252CB9" w:rsidRDefault="00DE47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252CB9" w:rsidRDefault="00DE47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252CB9" w:rsidRPr="00E600A5" w:rsidRDefault="00DE476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768" w:rsidRDefault="00DE4768">
      <w:r>
        <w:separator/>
      </w:r>
    </w:p>
  </w:footnote>
  <w:footnote w:type="continuationSeparator" w:id="0">
    <w:p w:rsidR="00DE4768" w:rsidRDefault="00DE4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2452603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2024-12-04</w:t>
          </w:r>
          <w:bookmarkEnd w:id="6"/>
        </w:p>
      </w:tc>
    </w:tr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 xml:space="preserve">Dirección de Talento </w:t>
          </w:r>
          <w:r w:rsidRPr="00542C05">
            <w:rPr>
              <w:rFonts w:ascii="Arial Narrow" w:hAnsi="Arial Narrow"/>
              <w:sz w:val="15"/>
              <w:szCs w:val="15"/>
            </w:rPr>
            <w:t>Humano</w:t>
          </w:r>
          <w:bookmarkEnd w:id="8"/>
        </w:p>
      </w:tc>
    </w:tr>
    <w:tr w:rsidR="007561A9" w:rsidTr="00762FBA">
      <w:tc>
        <w:tcPr>
          <w:tcW w:w="4614" w:type="dxa"/>
          <w:shd w:val="clear" w:color="auto" w:fill="auto"/>
        </w:tcPr>
        <w:p w:rsidR="00252CB9" w:rsidRPr="00FE3719" w:rsidRDefault="00DE47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252CB9" w:rsidRPr="00FA208F" w:rsidRDefault="00DE4768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A9"/>
    <w:rsid w:val="005A54F1"/>
    <w:rsid w:val="007561A9"/>
    <w:rsid w:val="0086441F"/>
    <w:rsid w:val="00DE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840E66"/>
  <w15:docId w15:val="{4C2156AD-52C9-4ED5-92E9-1A095C38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84EDC"/>
    <w:pPr>
      <w:ind w:left="720"/>
      <w:contextualSpacing/>
      <w:jc w:val="left"/>
    </w:pPr>
    <w:rPr>
      <w:spacing w:val="-5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08935-D950-4479-AD7B-6C2B02BD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952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9</cp:revision>
  <cp:lastPrinted>2010-09-29T14:18:00Z</cp:lastPrinted>
  <dcterms:created xsi:type="dcterms:W3CDTF">2024-12-03T21:07:00Z</dcterms:created>
  <dcterms:modified xsi:type="dcterms:W3CDTF">2024-12-04T19:31:00Z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